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bidi w:val="0"/>
        <w:rPr/>
      </w:pPr>
      <w:r>
        <w:rPr/>
        <w:t>ИНФОРМАЦИЯ</w:t>
      </w:r>
    </w:p>
    <w:p>
      <w:pPr>
        <w:pStyle w:val="Normal"/>
        <w:bidi w:val="0"/>
        <w:jc w:val="center"/>
        <w:rPr/>
      </w:pPr>
      <w:r>
        <w:rPr/>
        <w:t xml:space="preserve">о результатах проверок сведений о поступлении и расходовании средств </w:t>
      </w:r>
    </w:p>
    <w:p>
      <w:pPr>
        <w:pStyle w:val="Normal"/>
        <w:bidi w:val="0"/>
        <w:jc w:val="center"/>
        <w:rPr/>
      </w:pPr>
      <w:r>
        <w:rPr/>
        <w:t xml:space="preserve">региональных отделений политических партий </w:t>
      </w:r>
    </w:p>
    <w:p>
      <w:pPr>
        <w:pStyle w:val="Normal"/>
        <w:bidi w:val="0"/>
        <w:jc w:val="center"/>
        <w:rPr/>
      </w:pPr>
      <w:r>
        <w:rPr/>
        <w:t xml:space="preserve">за </w:t>
      </w:r>
      <w:r>
        <w:rPr>
          <w:lang w:val="en-US"/>
        </w:rPr>
        <w:t>IV</w:t>
      </w:r>
      <w:r>
        <w:rPr/>
        <w:t xml:space="preserve"> квартал 201</w:t>
      </w:r>
      <w:r>
        <w:rPr>
          <w:lang w:val="ru-RU"/>
        </w:rPr>
        <w:t>9</w:t>
      </w:r>
      <w:r>
        <w:rPr/>
        <w:t xml:space="preserve"> года</w:t>
      </w:r>
    </w:p>
    <w:p>
      <w:pPr>
        <w:pStyle w:val="Normal"/>
        <w:widowControl w:val="false"/>
        <w:bidi w:val="0"/>
        <w:ind w:firstLine="709"/>
        <w:jc w:val="left"/>
        <w:rPr/>
      </w:pPr>
      <w:r>
        <w:rPr>
          <w:sz w:val="20"/>
          <w:szCs w:val="20"/>
        </w:rPr>
        <w:t xml:space="preserve">                                             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(по состоянию на </w:t>
      </w:r>
      <w:r>
        <w:rPr>
          <w:b/>
          <w:bCs/>
          <w:sz w:val="20"/>
          <w:szCs w:val="20"/>
          <w:lang w:val="ru-RU"/>
        </w:rPr>
        <w:t>2</w:t>
      </w:r>
      <w:r>
        <w:rPr>
          <w:b/>
          <w:bCs/>
          <w:sz w:val="20"/>
          <w:szCs w:val="20"/>
          <w:lang w:val="ru-RU"/>
        </w:rPr>
        <w:t>0</w:t>
      </w:r>
      <w:r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  <w:lang w:val="en-US"/>
        </w:rPr>
        <w:t>03</w:t>
      </w:r>
      <w:r>
        <w:rPr>
          <w:b/>
          <w:bCs/>
          <w:sz w:val="20"/>
          <w:szCs w:val="20"/>
        </w:rPr>
        <w:t>.20</w:t>
      </w:r>
      <w:r>
        <w:rPr>
          <w:b/>
          <w:bCs/>
          <w:sz w:val="20"/>
          <w:szCs w:val="20"/>
          <w:lang w:val="en-US"/>
        </w:rPr>
        <w:t>20</w:t>
      </w:r>
      <w:r>
        <w:rPr>
          <w:b/>
          <w:bCs/>
          <w:sz w:val="20"/>
          <w:szCs w:val="20"/>
        </w:rPr>
        <w:t xml:space="preserve"> года)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/>
      </w:r>
    </w:p>
    <w:p>
      <w:pPr>
        <w:pStyle w:val="Style14"/>
        <w:tabs>
          <w:tab w:val="clear" w:pos="708"/>
          <w:tab w:val="left" w:pos="567" w:leader="none"/>
          <w:tab w:val="left" w:pos="709" w:leader="none"/>
        </w:tabs>
        <w:bidi w:val="0"/>
        <w:spacing w:before="0" w:after="0"/>
        <w:ind w:firstLine="709"/>
        <w:jc w:val="both"/>
        <w:rPr/>
      </w:pPr>
      <w:r>
        <w:rPr/>
        <w:t>На начало отчетного квартала на территории Красноярского края в качестве юридических лиц было зарегистрировано</w:t>
      </w:r>
      <w:r>
        <w:rPr>
          <w:lang w:val="en-US"/>
        </w:rPr>
        <w:t xml:space="preserve"> </w:t>
      </w:r>
      <w:r>
        <w:rPr>
          <w:lang w:val="ru-RU"/>
        </w:rPr>
        <w:t>4</w:t>
      </w:r>
      <w:r>
        <w:rPr>
          <w:lang w:val="en-US"/>
        </w:rPr>
        <w:t xml:space="preserve">4 </w:t>
      </w:r>
      <w:r>
        <w:rPr/>
        <w:t>региональн</w:t>
      </w:r>
      <w:r>
        <w:rPr>
          <w:lang w:val="ru-RU"/>
        </w:rPr>
        <w:t>ых</w:t>
      </w:r>
      <w:r>
        <w:rPr/>
        <w:t xml:space="preserve"> отделени</w:t>
      </w:r>
      <w:r>
        <w:rPr>
          <w:lang w:val="ru-RU"/>
        </w:rPr>
        <w:t>й</w:t>
      </w:r>
      <w:r>
        <w:rPr/>
        <w:t xml:space="preserve"> политических партий. 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/>
        <w:t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четвертый</w:t>
      </w:r>
      <w:r>
        <w:rPr>
          <w:lang w:val="ru-RU"/>
        </w:rPr>
        <w:t xml:space="preserve"> </w:t>
      </w:r>
      <w:r>
        <w:rPr/>
        <w:t>квартал 201</w:t>
      </w:r>
      <w:r>
        <w:rPr>
          <w:lang w:val="ru-RU"/>
        </w:rPr>
        <w:t>9</w:t>
      </w:r>
      <w:r>
        <w:rPr/>
        <w:t xml:space="preserve"> года (далее – Сведения) в Избирательную комиссию Красноярского края представили в установленный срок 42</w:t>
      </w:r>
      <w:r>
        <w:rPr>
          <w:lang w:val="ru-RU"/>
        </w:rPr>
        <w:t xml:space="preserve"> </w:t>
      </w:r>
      <w:r>
        <w:rPr/>
        <w:t>региональн</w:t>
      </w:r>
      <w:r>
        <w:rPr>
          <w:lang w:val="ru-RU"/>
        </w:rPr>
        <w:t>ых</w:t>
      </w:r>
      <w:r>
        <w:rPr/>
        <w:t xml:space="preserve"> отделени</w:t>
      </w:r>
      <w:r>
        <w:rPr>
          <w:lang w:val="ru-RU"/>
        </w:rPr>
        <w:t>я</w:t>
      </w:r>
      <w:r>
        <w:rPr/>
        <w:t xml:space="preserve"> политических партий</w:t>
      </w:r>
      <w:r>
        <w:rPr>
          <w:lang w:val="ru-RU"/>
        </w:rPr>
        <w:t xml:space="preserve">, зарегистрированные на конец отчетного квартала.  </w:t>
      </w:r>
      <w:r>
        <w:rPr>
          <w:szCs w:val="28"/>
        </w:rPr>
        <w:t xml:space="preserve"> </w:t>
      </w:r>
    </w:p>
    <w:p>
      <w:pPr>
        <w:pStyle w:val="Normal"/>
        <w:ind w:firstLine="709"/>
        <w:jc w:val="both"/>
        <w:rPr/>
      </w:pPr>
      <w:r>
        <w:rPr/>
        <w:t xml:space="preserve">Не представили Сведения </w:t>
      </w:r>
      <w:r>
        <w:rPr>
          <w:lang w:val="ru-RU"/>
        </w:rPr>
        <w:t>два</w:t>
      </w:r>
      <w:r>
        <w:rPr/>
        <w:t xml:space="preserve"> региональных отделения политических партий:</w:t>
      </w:r>
    </w:p>
    <w:p>
      <w:pPr>
        <w:pStyle w:val="Normal"/>
        <w:numPr>
          <w:ilvl w:val="0"/>
          <w:numId w:val="1"/>
        </w:numPr>
        <w:ind w:left="714" w:hanging="357"/>
        <w:rPr/>
      </w:pPr>
      <w:r>
        <w:rPr>
          <w:color w:val="000000"/>
          <w:szCs w:val="28"/>
          <w:lang w:val="ru-RU"/>
        </w:rPr>
        <w:t xml:space="preserve">1. </w:t>
      </w:r>
      <w:r>
        <w:rPr>
          <w:rFonts w:cs="Times New Roman"/>
          <w:color w:val="000000"/>
          <w:sz w:val="28"/>
          <w:szCs w:val="28"/>
          <w:lang w:val="ru-RU"/>
        </w:rPr>
        <w:t>Р</w:t>
      </w:r>
      <w:r>
        <w:rPr>
          <w:rFonts w:cs="Times New Roman"/>
          <w:color w:val="000000"/>
          <w:sz w:val="24"/>
          <w:szCs w:val="24"/>
          <w:lang w:val="ru-RU"/>
        </w:rPr>
        <w:t>егиональное отделение в Красноярском крае Всероссийской политической партии «ПАРТИЯ РОСТА»</w:t>
      </w:r>
      <w:r>
        <w:rPr>
          <w:rFonts w:cs="Times New Roman"/>
          <w:color w:val="000000"/>
          <w:sz w:val="24"/>
          <w:szCs w:val="24"/>
          <w:lang w:val="en-US"/>
        </w:rPr>
        <w:t>;</w:t>
      </w:r>
    </w:p>
    <w:p>
      <w:pPr>
        <w:pStyle w:val="Normal"/>
        <w:numPr>
          <w:ilvl w:val="0"/>
          <w:numId w:val="1"/>
        </w:numPr>
        <w:ind w:left="714" w:hanging="357"/>
        <w:rPr/>
      </w:pPr>
      <w:r>
        <w:rPr>
          <w:rFonts w:cs="Times New Roman"/>
          <w:color w:val="000000"/>
          <w:sz w:val="24"/>
          <w:szCs w:val="24"/>
          <w:lang w:val="en-US"/>
        </w:rPr>
        <w:t>2. Региональное отделение политической партии «Против всех» в Красноярском крае.</w:t>
      </w:r>
    </w:p>
    <w:p>
      <w:pPr>
        <w:pStyle w:val="Style14"/>
        <w:tabs>
          <w:tab w:val="clear" w:pos="708"/>
          <w:tab w:val="left" w:pos="709" w:leader="none"/>
          <w:tab w:val="left" w:pos="1701" w:leader="none"/>
          <w:tab w:val="left" w:pos="1843" w:leader="none"/>
          <w:tab w:val="left" w:pos="2268" w:leader="none"/>
        </w:tabs>
        <w:spacing w:before="0" w:after="0"/>
        <w:ind w:firstLine="709"/>
        <w:jc w:val="both"/>
        <w:rPr/>
      </w:pPr>
      <w:r>
        <w:rPr>
          <w:szCs w:val="28"/>
        </w:rPr>
        <w:t xml:space="preserve"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статьей 5.64 Кодекса Российской Федерации об административных правонарушениях, в части нарушения в четвертом квартале 2019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подготовлены материалы для привлечения этих региональных отделений политических партий к административной ответственности.  </w:t>
      </w:r>
    </w:p>
    <w:p>
      <w:pPr>
        <w:pStyle w:val="Style14"/>
        <w:tabs>
          <w:tab w:val="clear" w:pos="708"/>
          <w:tab w:val="left" w:pos="709" w:leader="none"/>
          <w:tab w:val="left" w:pos="1701" w:leader="none"/>
          <w:tab w:val="left" w:pos="1843" w:leader="none"/>
          <w:tab w:val="left" w:pos="2268" w:leader="none"/>
        </w:tabs>
        <w:bidi w:val="0"/>
        <w:spacing w:before="0" w:after="0"/>
        <w:ind w:firstLine="709"/>
        <w:jc w:val="both"/>
        <w:rPr/>
      </w:pPr>
      <w:r>
        <w:rPr/>
        <w:t xml:space="preserve">Кроме того, информация обо всех фактах непредставления отчетности за отчетный квартал направлена в Управление Министерства юстиции РФ по Красноярскому краю.  </w:t>
      </w:r>
    </w:p>
    <w:p>
      <w:pPr>
        <w:pStyle w:val="Normal"/>
        <w:bidi w:val="0"/>
        <w:ind w:firstLine="708"/>
        <w:jc w:val="both"/>
        <w:rPr/>
      </w:pPr>
      <w:r>
        <w:rPr/>
        <w:t xml:space="preserve">Все Сведения, представленные в Избирательную комиссию Красноярского края, проверены с использованием подсистемы автоматизация контроля финансирования политических партий ГАС «Выборы». </w:t>
      </w:r>
    </w:p>
    <w:p>
      <w:pPr>
        <w:pStyle w:val="Normal"/>
        <w:bidi w:val="0"/>
        <w:ind w:firstLine="708"/>
        <w:jc w:val="both"/>
        <w:rPr/>
      </w:pPr>
      <w:r>
        <w:rPr>
          <w:color w:val="auto"/>
          <w:lang w:val="ru-RU"/>
        </w:rPr>
        <w:t>35</w:t>
      </w:r>
      <w:r>
        <w:rPr>
          <w:color w:val="FF0000"/>
        </w:rPr>
        <w:t xml:space="preserve"> </w:t>
      </w:r>
      <w:r>
        <w:rPr/>
        <w:t>региональных отделени</w:t>
      </w:r>
      <w:r>
        <w:rPr>
          <w:lang w:val="ru-RU"/>
        </w:rPr>
        <w:t>й</w:t>
      </w:r>
      <w:r>
        <w:rPr/>
        <w:t xml:space="preserve"> политических партий представили «нулевые отчеты».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Согласно представленной региональными отделениями политических партий финансовой отчетности объем поступлений финансовых средств за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 201</w:t>
      </w:r>
      <w:r>
        <w:rPr>
          <w:szCs w:val="28"/>
          <w:lang w:val="ru-RU"/>
        </w:rPr>
        <w:t>9</w:t>
      </w:r>
      <w:r>
        <w:rPr>
          <w:szCs w:val="28"/>
        </w:rPr>
        <w:t xml:space="preserve"> года составил </w:t>
      </w:r>
      <w:r>
        <w:rPr>
          <w:color w:val="111111"/>
          <w:szCs w:val="28"/>
          <w:lang w:val="ru-RU"/>
        </w:rPr>
        <w:t>39</w:t>
      </w:r>
      <w:r>
        <w:rPr>
          <w:color w:val="111111"/>
          <w:szCs w:val="28"/>
        </w:rPr>
        <w:t xml:space="preserve"> </w:t>
      </w:r>
      <w:r>
        <w:rPr>
          <w:color w:val="111111"/>
          <w:szCs w:val="28"/>
          <w:lang w:val="ru-RU"/>
        </w:rPr>
        <w:t>633</w:t>
      </w:r>
      <w:r>
        <w:rPr>
          <w:color w:val="111111"/>
          <w:szCs w:val="28"/>
        </w:rPr>
        <w:t>,</w:t>
      </w:r>
      <w:r>
        <w:rPr>
          <w:color w:val="111111"/>
          <w:szCs w:val="28"/>
          <w:lang w:val="ru-RU"/>
        </w:rPr>
        <w:t>7</w:t>
      </w:r>
      <w:r>
        <w:rPr>
          <w:szCs w:val="28"/>
        </w:rPr>
        <w:t xml:space="preserve"> тыс. рублей. 9</w:t>
      </w:r>
      <w:r>
        <w:rPr>
          <w:szCs w:val="28"/>
          <w:lang w:val="ru-RU"/>
        </w:rPr>
        <w:t>5</w:t>
      </w:r>
      <w:r>
        <w:rPr>
          <w:szCs w:val="28"/>
        </w:rPr>
        <w:t>,</w:t>
      </w:r>
      <w:r>
        <w:rPr>
          <w:szCs w:val="28"/>
          <w:lang w:val="ru-RU"/>
        </w:rPr>
        <w:t>8</w:t>
      </w:r>
      <w:r>
        <w:rPr>
          <w:szCs w:val="28"/>
        </w:rPr>
        <w:t xml:space="preserve"> % (</w:t>
      </w:r>
      <w:r>
        <w:rPr>
          <w:szCs w:val="28"/>
          <w:lang w:val="ru-RU"/>
        </w:rPr>
        <w:t>37</w:t>
      </w:r>
      <w:r>
        <w:rPr>
          <w:szCs w:val="28"/>
        </w:rPr>
        <w:t xml:space="preserve"> </w:t>
      </w:r>
      <w:r>
        <w:rPr>
          <w:szCs w:val="28"/>
          <w:lang w:val="ru-RU"/>
        </w:rPr>
        <w:t>953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тыс. руб.) общей суммы поступлений составили денежные средства и 4</w:t>
      </w:r>
      <w:r>
        <w:rPr>
          <w:szCs w:val="28"/>
          <w:lang w:val="ru-RU"/>
        </w:rPr>
        <w:t>,2</w:t>
      </w:r>
      <w:r>
        <w:rPr>
          <w:szCs w:val="28"/>
        </w:rPr>
        <w:t xml:space="preserve"> % (</w:t>
      </w:r>
      <w:r>
        <w:rPr>
          <w:szCs w:val="28"/>
          <w:lang w:val="ru-RU"/>
        </w:rPr>
        <w:t>1 680</w:t>
      </w:r>
      <w:r>
        <w:rPr>
          <w:szCs w:val="28"/>
        </w:rPr>
        <w:t>,</w:t>
      </w:r>
      <w:r>
        <w:rPr>
          <w:szCs w:val="28"/>
          <w:lang w:val="ru-RU"/>
        </w:rPr>
        <w:t>7</w:t>
      </w:r>
      <w:r>
        <w:rPr>
          <w:szCs w:val="28"/>
        </w:rPr>
        <w:t xml:space="preserve"> тыс. руб.) - иное имущество.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tbl>
      <w:tblPr>
        <w:tblStyle w:val="10"/>
        <w:tblW w:w="9204" w:type="dxa"/>
        <w:jc w:val="left"/>
        <w:tblInd w:w="15" w:type="dxa"/>
        <w:tblCellMar>
          <w:top w:w="15" w:type="dxa"/>
          <w:left w:w="15" w:type="dxa"/>
          <w:bottom w:w="0" w:type="dxa"/>
          <w:right w:w="15" w:type="dxa"/>
        </w:tblCellMar>
      </w:tblPr>
      <w:tblGrid>
        <w:gridCol w:w="4622"/>
        <w:gridCol w:w="1633"/>
        <w:gridCol w:w="1560"/>
        <w:gridCol w:w="1388"/>
      </w:tblGrid>
      <w:tr>
        <w:trPr>
          <w:trHeight w:val="682" w:hRule="atLeast"/>
        </w:trPr>
        <w:tc>
          <w:tcPr>
            <w:tcW w:w="9203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rFonts w:cs="Times New Roman CYR" w:ascii="Times New Roman CYR" w:hAnsi="Times New Roman CYR"/>
              </w:rPr>
              <w:t xml:space="preserve">Сведения о формировании имущества региональных отделений политических партий </w:t>
              <w:br/>
              <w:t xml:space="preserve">в </w:t>
            </w:r>
            <w:r>
              <w:rPr>
                <w:rFonts w:cs="Times New Roman CYR" w:ascii="Times New Roman CYR" w:hAnsi="Times New Roman CYR"/>
                <w:lang w:val="en-US"/>
              </w:rPr>
              <w:t>IV</w:t>
            </w:r>
            <w:r>
              <w:rPr>
                <w:rFonts w:cs="Times New Roman CYR" w:ascii="Times New Roman CYR" w:hAnsi="Times New Roman CYR"/>
              </w:rPr>
              <w:t xml:space="preserve"> квартале 201</w:t>
            </w:r>
            <w:r>
              <w:rPr>
                <w:rFonts w:cs="Times New Roman CYR" w:ascii="Times New Roman CYR" w:hAnsi="Times New Roman CYR"/>
                <w:lang w:val="ru-RU"/>
              </w:rPr>
              <w:t>9</w:t>
            </w:r>
            <w:r>
              <w:rPr>
                <w:rFonts w:cs="Times New Roman CYR" w:ascii="Times New Roman CYR" w:hAnsi="Times New Roman CYR"/>
              </w:rPr>
              <w:t xml:space="preserve"> года</w:t>
            </w:r>
          </w:p>
        </w:tc>
      </w:tr>
      <w:tr>
        <w:trPr>
          <w:trHeight w:val="191" w:hRule="atLeast"/>
        </w:trPr>
        <w:tc>
          <w:tcPr>
            <w:tcW w:w="9203" w:type="dxa"/>
            <w:gridSpan w:val="4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рублях</w:t>
            </w:r>
          </w:p>
        </w:tc>
      </w:tr>
      <w:tr>
        <w:trPr>
          <w:trHeight w:val="379" w:hRule="atLeast"/>
          <w:cantSplit w:val="true"/>
        </w:trPr>
        <w:tc>
          <w:tcPr>
            <w:tcW w:w="4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Поступило средств, всего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том числе:</w:t>
            </w:r>
          </w:p>
        </w:tc>
      </w:tr>
      <w:tr>
        <w:trPr>
          <w:trHeight w:val="514" w:hRule="atLeast"/>
          <w:cantSplit w:val="true"/>
        </w:trPr>
        <w:tc>
          <w:tcPr>
            <w:tcW w:w="4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  <w:r>
              <w:rPr>
                <w:rFonts w:eastAsia="Arial Unicode MS" w:cs="Times New Roman CYR" w:ascii="Times New Roman CYR" w:hAnsi="Times New Roman CYR"/>
                <w:sz w:val="20"/>
                <w:szCs w:val="20"/>
              </w:rPr>
            </w:r>
          </w:p>
        </w:tc>
        <w:tc>
          <w:tcPr>
            <w:tcW w:w="1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  <w:r>
              <w:rPr>
                <w:rFonts w:eastAsia="Arial Unicode MS" w:cs="Times New Roman CYR" w:ascii="Times New Roman CYR" w:hAnsi="Times New Roman CYR"/>
                <w:sz w:val="20"/>
                <w:szCs w:val="20"/>
              </w:rPr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иное имущество</w:t>
            </w:r>
          </w:p>
        </w:tc>
      </w:tr>
      <w:tr>
        <w:trPr>
          <w:trHeight w:val="1073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4 1</w:t>
            </w:r>
            <w:r>
              <w:rPr>
                <w:rFonts w:eastAsia="Arial Unicode MS"/>
                <w:sz w:val="20"/>
                <w:szCs w:val="20"/>
                <w:lang w:val="en-US"/>
              </w:rPr>
              <w:t>14 556</w:t>
            </w:r>
            <w:r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4 1</w:t>
            </w:r>
            <w:r>
              <w:rPr>
                <w:rFonts w:eastAsia="Arial Unicode MS"/>
                <w:sz w:val="20"/>
                <w:szCs w:val="20"/>
                <w:lang w:val="en-US"/>
              </w:rPr>
              <w:t>14 556</w:t>
            </w:r>
            <w:r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34 </w:t>
            </w:r>
            <w:r>
              <w:rPr>
                <w:rFonts w:eastAsia="Arial Unicode MS"/>
                <w:sz w:val="20"/>
                <w:szCs w:val="20"/>
                <w:lang w:val="en-US"/>
              </w:rPr>
              <w:t>140 590</w:t>
            </w:r>
            <w:r>
              <w:rPr>
                <w:rFonts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84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3</w:t>
            </w:r>
            <w:r>
              <w:rPr>
                <w:rFonts w:eastAsia="Arial Unicode MS"/>
                <w:sz w:val="20"/>
                <w:szCs w:val="20"/>
                <w:lang w:val="en-US"/>
              </w:rPr>
              <w:t>2 474 125,31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1 </w:t>
            </w:r>
            <w:r>
              <w:rPr>
                <w:rFonts w:eastAsia="Arial Unicode MS"/>
                <w:sz w:val="20"/>
                <w:szCs w:val="20"/>
                <w:lang w:val="en-US"/>
              </w:rPr>
              <w:t>666 465</w:t>
            </w:r>
            <w:r>
              <w:rPr>
                <w:rFonts w:eastAsia="Arial Unicode MS"/>
                <w:sz w:val="20"/>
                <w:szCs w:val="20"/>
                <w:lang w:val="ru-RU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53</w:t>
            </w:r>
          </w:p>
        </w:tc>
      </w:tr>
      <w:tr>
        <w:trPr>
          <w:trHeight w:val="847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en-US"/>
              </w:rPr>
              <w:t>692 180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en-US"/>
              </w:rPr>
              <w:t>692 180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/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439 239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439 239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Красноярское региональное отделение    </w:t>
            </w:r>
          </w:p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>РОССИИ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95 300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95 300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773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151 849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137 569</w:t>
            </w:r>
            <w:r>
              <w:rPr>
                <w:rFonts w:eastAsia="Arial Unicode MS"/>
                <w:sz w:val="20"/>
                <w:szCs w:val="20"/>
                <w:lang w:val="ru-RU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en-US"/>
              </w:rPr>
              <w:t>14 280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ru-RU"/>
              </w:rPr>
              <w:t>00</w:t>
            </w:r>
          </w:p>
        </w:tc>
      </w:tr>
      <w:tr>
        <w:trPr>
          <w:trHeight w:val="379" w:hRule="atLeast"/>
        </w:trPr>
        <w:tc>
          <w:tcPr>
            <w:tcW w:w="4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"/>
              <w:keepNext w:val="false"/>
              <w:widowControl w:val="false"/>
              <w:tabs>
                <w:tab w:val="clear" w:pos="708"/>
                <w:tab w:val="left" w:pos="285" w:leader="none"/>
              </w:tabs>
              <w:bidi w:val="0"/>
              <w:spacing w:before="240" w:after="60"/>
              <w:jc w:val="left"/>
              <w:rPr>
                <w:rFonts w:ascii="Times New Roman" w:hAnsi="Times New Roman" w:eastAsia="Arial Unicode MS" w:cs="Times New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ИТОГО:</w:t>
            </w:r>
          </w:p>
        </w:tc>
        <w:tc>
          <w:tcPr>
            <w:tcW w:w="163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39 633 714,84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37 952 969,31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1 680 745,53</w:t>
            </w:r>
          </w:p>
        </w:tc>
      </w:tr>
    </w:tbl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Иным региональным отделениям политических партий за отчетный период имущество, в том числе денежные средства, не поступало.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>
          <w:szCs w:val="28"/>
        </w:rPr>
        <w:t xml:space="preserve">Из общей суммы поступивших денежных средств - </w:t>
      </w:r>
      <w:r>
        <w:rPr>
          <w:szCs w:val="28"/>
          <w:lang w:val="ru-RU"/>
        </w:rPr>
        <w:t>51,8</w:t>
      </w:r>
      <w:r>
        <w:rPr>
          <w:szCs w:val="28"/>
        </w:rPr>
        <w:t xml:space="preserve"> % (19 647</w:t>
      </w:r>
      <w:r>
        <w:rPr>
          <w:szCs w:val="28"/>
          <w:lang w:val="ru-RU"/>
        </w:rPr>
        <w:t xml:space="preserve">,5 </w:t>
      </w:r>
      <w:r>
        <w:rPr>
          <w:szCs w:val="28"/>
        </w:rPr>
        <w:t>тыс. руб.) составили поступившие в установленном порядке пожертвования, из них - 19</w:t>
      </w:r>
      <w:r>
        <w:rPr>
          <w:szCs w:val="28"/>
          <w:lang w:val="ru-RU"/>
        </w:rPr>
        <w:t xml:space="preserve"> 405</w:t>
      </w:r>
      <w:r>
        <w:rPr>
          <w:szCs w:val="28"/>
        </w:rPr>
        <w:t>,</w:t>
      </w:r>
      <w:r>
        <w:rPr>
          <w:szCs w:val="28"/>
          <w:lang w:val="ru-RU"/>
        </w:rPr>
        <w:t>8</w:t>
      </w:r>
      <w:r>
        <w:rPr>
          <w:szCs w:val="28"/>
        </w:rPr>
        <w:t xml:space="preserve"> тыс. руб. - от юридических лиц и </w:t>
      </w:r>
      <w:r>
        <w:rPr>
          <w:szCs w:val="28"/>
          <w:lang w:val="ru-RU"/>
        </w:rPr>
        <w:t>241</w:t>
      </w:r>
      <w:r>
        <w:rPr>
          <w:szCs w:val="28"/>
        </w:rPr>
        <w:t>,</w:t>
      </w:r>
      <w:r>
        <w:rPr>
          <w:szCs w:val="28"/>
          <w:lang w:val="ru-RU"/>
        </w:rPr>
        <w:t>7</w:t>
      </w:r>
      <w:r>
        <w:rPr>
          <w:szCs w:val="28"/>
        </w:rPr>
        <w:t xml:space="preserve"> тыс. руб. - пожертвования граждан.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>
          <w:szCs w:val="28"/>
          <w:lang w:val="ru-RU"/>
        </w:rPr>
        <w:t>Финансовую поддержку в отчетном квартале получили</w:t>
      </w:r>
      <w:r>
        <w:rPr>
          <w:szCs w:val="28"/>
        </w:rPr>
        <w:t xml:space="preserve"> </w:t>
      </w:r>
      <w:r>
        <w:rPr>
          <w:szCs w:val="28"/>
          <w:lang w:val="ru-RU"/>
        </w:rPr>
        <w:t>три</w:t>
      </w:r>
      <w:r>
        <w:rPr>
          <w:szCs w:val="28"/>
        </w:rPr>
        <w:t xml:space="preserve"> региональных отделения политических партий: </w:t>
      </w:r>
      <w:r>
        <w:rPr>
          <w:b/>
          <w:szCs w:val="28"/>
        </w:rPr>
        <w:t>«ПАТРИОТЫ РОССИИ»</w:t>
      </w:r>
      <w:r>
        <w:rPr>
          <w:szCs w:val="28"/>
        </w:rPr>
        <w:t xml:space="preserve"> </w:t>
      </w:r>
      <w:r>
        <w:rPr>
          <w:color w:val="000000"/>
        </w:rPr>
        <w:t xml:space="preserve">от </w:t>
      </w:r>
      <w:r>
        <w:rPr>
          <w:color w:val="000000"/>
          <w:lang w:val="ru-RU"/>
        </w:rPr>
        <w:t>одного</w:t>
      </w:r>
      <w:r>
        <w:rPr/>
        <w:t xml:space="preserve"> </w:t>
      </w:r>
      <w:r>
        <w:rPr>
          <w:color w:val="000000"/>
        </w:rPr>
        <w:t xml:space="preserve">юридического лица в сумме  </w:t>
      </w:r>
      <w:r>
        <w:rPr>
          <w:color w:val="000000"/>
          <w:lang w:val="ru-RU"/>
        </w:rPr>
        <w:t>5</w:t>
      </w:r>
      <w:r>
        <w:rPr>
          <w:color w:val="000000"/>
        </w:rPr>
        <w:t>,</w:t>
      </w:r>
      <w:r>
        <w:rPr>
          <w:color w:val="000000"/>
          <w:lang w:val="ru-RU"/>
        </w:rPr>
        <w:t>8</w:t>
      </w:r>
      <w:r>
        <w:rPr>
          <w:color w:val="000000"/>
        </w:rPr>
        <w:t xml:space="preserve"> тыс. руб. и от </w:t>
      </w:r>
      <w:r>
        <w:rPr>
          <w:color w:val="111111"/>
          <w:lang w:val="ru-RU"/>
        </w:rPr>
        <w:t>четырех</w:t>
      </w:r>
      <w:r>
        <w:rPr>
          <w:color w:val="111111"/>
        </w:rPr>
        <w:t xml:space="preserve"> граждан</w:t>
      </w:r>
      <w:r>
        <w:rPr>
          <w:color w:val="000000"/>
        </w:rPr>
        <w:t xml:space="preserve"> в сумме </w:t>
      </w:r>
      <w:r>
        <w:rPr>
          <w:color w:val="000000"/>
          <w:lang w:val="ru-RU"/>
        </w:rPr>
        <w:t>89</w:t>
      </w:r>
      <w:r>
        <w:rPr>
          <w:color w:val="000000"/>
        </w:rPr>
        <w:t>,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тыс.руб., </w:t>
      </w:r>
      <w:r>
        <w:rPr>
          <w:b/>
          <w:bCs/>
          <w:color w:val="000000"/>
          <w:lang w:val="ru-RU"/>
        </w:rPr>
        <w:t>«ЕДИНАЯ РОССИЯ»</w:t>
      </w:r>
      <w:r>
        <w:rPr>
          <w:color w:val="000000"/>
          <w:lang w:val="ru-RU"/>
        </w:rPr>
        <w:t xml:space="preserve"> от одного </w:t>
      </w:r>
      <w:r>
        <w:rPr>
          <w:color w:val="auto"/>
          <w:lang w:val="ru-RU"/>
        </w:rPr>
        <w:t>юридического лица</w:t>
      </w:r>
      <w:r>
        <w:rPr>
          <w:color w:val="000000"/>
          <w:lang w:val="ru-RU"/>
        </w:rPr>
        <w:t xml:space="preserve"> в сумме 19 400,0 тыс.руб., и </w:t>
      </w:r>
      <w:r>
        <w:rPr>
          <w:b/>
          <w:bCs/>
          <w:color w:val="000000"/>
          <w:lang w:val="ru-RU"/>
        </w:rPr>
        <w:t>«ЛДПР»</w:t>
      </w:r>
      <w:r>
        <w:rPr>
          <w:color w:val="000000"/>
          <w:lang w:val="ru-RU"/>
        </w:rPr>
        <w:t xml:space="preserve"> от </w:t>
      </w:r>
      <w:r>
        <w:rPr>
          <w:color w:val="111111"/>
          <w:lang w:val="ru-RU"/>
        </w:rPr>
        <w:t>двух</w:t>
      </w:r>
      <w:r>
        <w:rPr>
          <w:color w:val="000000"/>
          <w:lang w:val="ru-RU"/>
        </w:rPr>
        <w:t xml:space="preserve"> граждан в сумме 152,2 тыс.руб.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юридических лицах с использованием данных </w:t>
      </w:r>
      <w:r>
        <w:rPr/>
        <w:t xml:space="preserve">из ЕГРЮЛ </w:t>
      </w:r>
      <w:r>
        <w:rPr>
          <w:lang w:val="ru-RU"/>
        </w:rPr>
        <w:t xml:space="preserve">и </w:t>
      </w:r>
      <w:r>
        <w:rPr/>
        <w:t>в органах ФНС России</w:t>
      </w:r>
      <w:r>
        <w:rPr>
          <w:lang w:val="ru-RU"/>
        </w:rPr>
        <w:t xml:space="preserve"> и Минюста России</w:t>
      </w:r>
      <w:r>
        <w:rPr/>
        <w:t>. Проверки сведений о жертвователях - физических лицах проведены с использованием данных из Регистра избирателей (ПРИУР) и в Управлении по вопросам миграции ГУ МВД России по Красноярскому краю.</w:t>
      </w:r>
    </w:p>
    <w:p>
      <w:pPr>
        <w:pStyle w:val="Normal"/>
        <w:widowControl w:val="false"/>
        <w:bidi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</w:t>
      </w:r>
      <w:r>
        <w:rPr>
          <w:color w:val="000000"/>
        </w:rPr>
        <w:t xml:space="preserve">арушений и ограничений на внесение пожертвований не выявлено.   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>
          <w:szCs w:val="28"/>
        </w:rPr>
        <w:t xml:space="preserve">Из поступивших денежных средств </w:t>
      </w:r>
      <w:r>
        <w:rPr>
          <w:szCs w:val="28"/>
          <w:lang w:val="ru-RU"/>
        </w:rPr>
        <w:t>15 859</w:t>
      </w:r>
      <w:r>
        <w:rPr>
          <w:szCs w:val="28"/>
        </w:rPr>
        <w:t>,</w:t>
      </w:r>
      <w:r>
        <w:rPr>
          <w:szCs w:val="28"/>
          <w:lang w:val="ru-RU"/>
        </w:rPr>
        <w:t>1</w:t>
      </w:r>
      <w:r>
        <w:rPr>
          <w:szCs w:val="28"/>
        </w:rPr>
        <w:t xml:space="preserve"> тыс. руб., или 41</w:t>
      </w:r>
      <w:r>
        <w:rPr>
          <w:szCs w:val="28"/>
          <w:lang w:val="ru-RU"/>
        </w:rPr>
        <w:t>,8</w:t>
      </w:r>
      <w:r>
        <w:rPr>
          <w:szCs w:val="28"/>
        </w:rPr>
        <w:t xml:space="preserve"> % </w:t>
      </w:r>
      <w:r>
        <w:rPr>
          <w:szCs w:val="28"/>
          <w:lang w:val="ru-RU"/>
        </w:rPr>
        <w:t>составили</w:t>
      </w:r>
      <w:r>
        <w:rPr>
          <w:szCs w:val="28"/>
        </w:rPr>
        <w:t xml:space="preserve"> </w:t>
      </w:r>
      <w:r>
        <w:rPr>
          <w:szCs w:val="28"/>
          <w:lang w:val="ru-RU"/>
        </w:rPr>
        <w:t>денежные средства, полученные от политических партий</w:t>
      </w:r>
      <w:r>
        <w:rPr>
          <w:szCs w:val="28"/>
        </w:rPr>
        <w:t>.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>
          <w:szCs w:val="28"/>
          <w:lang w:val="ru-RU"/>
        </w:rPr>
        <w:t>В</w:t>
      </w:r>
      <w:r>
        <w:rPr>
          <w:szCs w:val="28"/>
        </w:rPr>
        <w:t xml:space="preserve">ступительные и членские взносы в течение отчетного квартала поступали у двух региональных отделений политических партий - </w:t>
      </w:r>
      <w:r>
        <w:rPr>
          <w:b/>
          <w:szCs w:val="28"/>
        </w:rPr>
        <w:t xml:space="preserve">«ЕДИНАЯ РОССИЯ» </w:t>
      </w:r>
      <w:r>
        <w:rPr>
          <w:b w:val="false"/>
          <w:bCs w:val="false"/>
          <w:szCs w:val="28"/>
        </w:rPr>
        <w:t>и</w:t>
      </w:r>
      <w:r>
        <w:rPr>
          <w:szCs w:val="28"/>
        </w:rPr>
        <w:t xml:space="preserve"> </w:t>
      </w:r>
      <w:r>
        <w:rPr>
          <w:b/>
          <w:szCs w:val="28"/>
        </w:rPr>
        <w:t>«КПРФ»</w:t>
      </w:r>
      <w:r>
        <w:rPr>
          <w:szCs w:val="28"/>
        </w:rPr>
        <w:t>.</w:t>
      </w:r>
      <w:r>
        <w:rPr>
          <w:szCs w:val="28"/>
          <w:lang w:val="ru-RU"/>
        </w:rPr>
        <w:t xml:space="preserve"> Сумма вступительных членских взносов составила  2 167,2 тыс.руб. или 5,7% от общей суммы поступивших денежных средств.   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>
          <w:szCs w:val="28"/>
        </w:rPr>
        <w:t xml:space="preserve"> </w:t>
      </w:r>
      <w:r>
        <w:rPr>
          <w:szCs w:val="28"/>
        </w:rPr>
        <w:t xml:space="preserve">Кроме того, в отчетном квартале региональные отделения политических партий получили денежные средства в виде доходов от предпринимательской деятельности в сумме </w:t>
      </w:r>
      <w:r>
        <w:rPr>
          <w:szCs w:val="28"/>
          <w:lang w:val="ru-RU"/>
        </w:rPr>
        <w:t>215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0</w:t>
      </w:r>
      <w:r>
        <w:rPr>
          <w:szCs w:val="28"/>
        </w:rPr>
        <w:t>,</w:t>
      </w:r>
      <w:r>
        <w:rPr>
          <w:szCs w:val="28"/>
          <w:lang w:val="ru-RU"/>
        </w:rPr>
        <w:t>6</w:t>
      </w:r>
      <w:r>
        <w:rPr>
          <w:szCs w:val="28"/>
        </w:rPr>
        <w:t xml:space="preserve"> % от общей суммы поступивших денежных средств  и других не запрещенных законом поступлений на сумму 64,1 тыс.руб., или 0,2 %.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Поступления в виде иного имущества в отчетном квартале отражены в отчетах </w:t>
      </w:r>
      <w:r>
        <w:rPr>
          <w:szCs w:val="28"/>
          <w:lang w:val="ru-RU"/>
        </w:rPr>
        <w:t>двух</w:t>
      </w:r>
      <w:r>
        <w:rPr>
          <w:szCs w:val="28"/>
        </w:rPr>
        <w:t xml:space="preserve"> региональных отделений политических партий – </w:t>
      </w:r>
      <w:r>
        <w:rPr>
          <w:b/>
          <w:szCs w:val="28"/>
        </w:rPr>
        <w:t xml:space="preserve">«ЕДИНАЯ РОССИЯ»  </w:t>
      </w:r>
      <w:r>
        <w:rPr>
          <w:b w:val="false"/>
          <w:bCs w:val="false"/>
          <w:szCs w:val="28"/>
        </w:rPr>
        <w:t>и</w:t>
      </w:r>
      <w:r>
        <w:rPr>
          <w:b/>
          <w:szCs w:val="28"/>
        </w:rPr>
        <w:t xml:space="preserve"> «СПРАВЕДЛИВАЯ РОССИЯ»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Анализ представленных Сведений показал, что расходы региональных отделений политических партий на осуществление уставной деятельности составили </w:t>
      </w:r>
      <w:r>
        <w:rPr>
          <w:szCs w:val="28"/>
          <w:lang w:val="ru-RU"/>
        </w:rPr>
        <w:t>25</w:t>
      </w:r>
      <w:r>
        <w:rPr>
          <w:szCs w:val="28"/>
        </w:rPr>
        <w:t> </w:t>
      </w:r>
      <w:r>
        <w:rPr>
          <w:szCs w:val="28"/>
          <w:lang w:val="ru-RU"/>
        </w:rPr>
        <w:t>678</w:t>
      </w:r>
      <w:r>
        <w:rPr>
          <w:szCs w:val="28"/>
        </w:rPr>
        <w:t>,</w:t>
      </w:r>
      <w:r>
        <w:rPr>
          <w:szCs w:val="28"/>
          <w:lang w:val="ru-RU"/>
        </w:rPr>
        <w:t>6</w:t>
      </w:r>
      <w:r>
        <w:rPr>
          <w:color w:val="000000" w:themeColor="text1"/>
          <w:szCs w:val="28"/>
        </w:rPr>
        <w:t xml:space="preserve"> тыс.</w:t>
      </w:r>
      <w:r>
        <w:rPr>
          <w:szCs w:val="28"/>
        </w:rPr>
        <w:t xml:space="preserve"> руб.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tbl>
      <w:tblPr>
        <w:tblStyle w:val="10"/>
        <w:tblW w:w="9203" w:type="dxa"/>
        <w:jc w:val="left"/>
        <w:tblInd w:w="15" w:type="dxa"/>
        <w:tblCellMar>
          <w:top w:w="15" w:type="dxa"/>
          <w:left w:w="15" w:type="dxa"/>
          <w:bottom w:w="0" w:type="dxa"/>
          <w:right w:w="15" w:type="dxa"/>
        </w:tblCellMar>
      </w:tblPr>
      <w:tblGrid>
        <w:gridCol w:w="6251"/>
        <w:gridCol w:w="2951"/>
      </w:tblGrid>
      <w:tr>
        <w:trPr>
          <w:trHeight w:val="444" w:hRule="atLeast"/>
        </w:trPr>
        <w:tc>
          <w:tcPr>
            <w:tcW w:w="92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rFonts w:cs="Times New Roman CYR" w:ascii="Times New Roman CYR" w:hAnsi="Times New Roman CYR"/>
              </w:rPr>
              <w:t xml:space="preserve">Сведения о расходовании денежных средств региональных отделений </w:t>
            </w:r>
          </w:p>
          <w:p>
            <w:pPr>
              <w:pStyle w:val="Normal"/>
              <w:widowControl w:val="false"/>
              <w:bidi w:val="0"/>
              <w:jc w:val="center"/>
              <w:rPr/>
            </w:pPr>
            <w:r>
              <w:rPr>
                <w:rFonts w:cs="Times New Roman CYR" w:ascii="Times New Roman CYR" w:hAnsi="Times New Roman CYR"/>
              </w:rPr>
              <w:t xml:space="preserve">политических партий в </w:t>
            </w:r>
            <w:r>
              <w:rPr>
                <w:rFonts w:cs="Times New Roman CYR" w:ascii="Times New Roman CYR" w:hAnsi="Times New Roman CYR"/>
                <w:lang w:val="en-US"/>
              </w:rPr>
              <w:t>IV</w:t>
            </w:r>
            <w:r>
              <w:rPr>
                <w:rFonts w:cs="Times New Roman CYR" w:ascii="Times New Roman CYR" w:hAnsi="Times New Roman CYR"/>
              </w:rPr>
              <w:t xml:space="preserve"> квартале 201</w:t>
            </w:r>
            <w:r>
              <w:rPr>
                <w:rFonts w:cs="Times New Roman CYR" w:ascii="Times New Roman CYR" w:hAnsi="Times New Roman CYR"/>
                <w:lang w:val="ru-RU"/>
              </w:rPr>
              <w:t>9</w:t>
            </w:r>
            <w:r>
              <w:rPr>
                <w:rFonts w:cs="Times New Roman CYR" w:ascii="Times New Roman CYR" w:hAnsi="Times New Roman CYR"/>
              </w:rPr>
              <w:t xml:space="preserve"> года</w:t>
            </w:r>
          </w:p>
        </w:tc>
      </w:tr>
      <w:tr>
        <w:trPr>
          <w:trHeight w:val="191" w:hRule="atLeast"/>
        </w:trPr>
        <w:tc>
          <w:tcPr>
            <w:tcW w:w="92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рублях</w:t>
            </w:r>
          </w:p>
        </w:tc>
      </w:tr>
      <w:tr>
        <w:trPr>
          <w:trHeight w:val="701" w:hRule="atLeast"/>
          <w:cantSplit w:val="true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eastAsia="Arial Unicode MS" w:cs="Times New Roman CYR" w:ascii="Times New Roman CYR" w:hAnsi="Times New Roman CYR"/>
              </w:rPr>
              <w:t>Израсходовано</w:t>
            </w:r>
          </w:p>
        </w:tc>
      </w:tr>
      <w:tr>
        <w:trPr>
          <w:trHeight w:val="697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  </w:t>
            </w:r>
            <w:r>
              <w:rPr>
                <w:rFonts w:eastAsia="Arial Unicode MS"/>
                <w:sz w:val="20"/>
                <w:szCs w:val="20"/>
                <w:lang w:val="ru-RU"/>
              </w:rPr>
              <w:t>4 583 726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679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19 507 415,70</w:t>
            </w:r>
          </w:p>
        </w:tc>
      </w:tr>
      <w:tr>
        <w:trPr>
          <w:trHeight w:val="563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  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694 847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ru-RU"/>
              </w:rPr>
              <w:t>29</w:t>
            </w:r>
          </w:p>
        </w:tc>
      </w:tr>
      <w:tr>
        <w:trPr>
          <w:trHeight w:val="685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429 387</w:t>
            </w:r>
            <w:r>
              <w:rPr>
                <w:rFonts w:eastAsia="Arial Unicode MS"/>
                <w:sz w:val="20"/>
                <w:szCs w:val="20"/>
              </w:rPr>
              <w:t>,6</w:t>
            </w:r>
            <w:r>
              <w:rPr>
                <w:rFonts w:eastAsia="Arial Unicode MS"/>
                <w:sz w:val="20"/>
                <w:szCs w:val="20"/>
                <w:lang w:val="ru-RU"/>
              </w:rPr>
              <w:t>4</w:t>
            </w:r>
          </w:p>
        </w:tc>
      </w:tr>
      <w:tr>
        <w:trPr>
          <w:trHeight w:val="548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Красноярское региональное отделение    </w:t>
            </w:r>
          </w:p>
          <w:p>
            <w:pPr>
              <w:pStyle w:val="Normal"/>
              <w:bidi w:val="0"/>
              <w:jc w:val="lef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95 300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520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346 874,74</w:t>
            </w:r>
          </w:p>
        </w:tc>
      </w:tr>
      <w:tr>
        <w:trPr>
          <w:trHeight w:val="551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b/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Политической партии "Гражданская Платформа"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21 080,26</w:t>
            </w:r>
          </w:p>
        </w:tc>
      </w:tr>
      <w:tr>
        <w:trPr>
          <w:trHeight w:val="368" w:hRule="atLeast"/>
        </w:trPr>
        <w:tc>
          <w:tcPr>
            <w:tcW w:w="6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"/>
              <w:keepNext w:val="false"/>
              <w:widowControl w:val="false"/>
              <w:tabs>
                <w:tab w:val="clear" w:pos="708"/>
                <w:tab w:val="left" w:pos="285" w:leader="none"/>
              </w:tabs>
              <w:bidi w:val="0"/>
              <w:spacing w:before="240" w:after="60"/>
              <w:jc w:val="left"/>
              <w:rPr>
                <w:rFonts w:ascii="Times New Roman" w:hAnsi="Times New Roman" w:eastAsia="Arial Unicode MS" w:cs="Times New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ИТОГО:</w:t>
            </w:r>
          </w:p>
        </w:tc>
        <w:tc>
          <w:tcPr>
            <w:tcW w:w="295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/>
            </w:pPr>
            <w:r>
              <w:rPr>
                <w:rFonts w:eastAsia="Arial Unicode MS"/>
                <w:sz w:val="20"/>
                <w:szCs w:val="20"/>
                <w:lang w:val="ru-RU"/>
              </w:rPr>
              <w:t>25 678 631,63</w:t>
            </w:r>
          </w:p>
        </w:tc>
      </w:tr>
    </w:tbl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расходование финансовых средств не производилось.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Полученные денежные средства и имеющийся на начало отчетного квартала остаток региональными отделениями политических партий были израсходованы: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>- на содержание региональных отделений и иных зарегистрированных структурных подразделений в сумме 22 07</w:t>
      </w:r>
      <w:r>
        <w:rPr>
          <w:szCs w:val="28"/>
        </w:rPr>
        <w:t>2</w:t>
      </w:r>
      <w:r>
        <w:rPr>
          <w:color w:val="000000" w:themeColor="text1"/>
          <w:szCs w:val="28"/>
          <w:lang w:val="ru-RU"/>
        </w:rPr>
        <w:t>,6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8</w:t>
      </w:r>
      <w:r>
        <w:rPr>
          <w:szCs w:val="28"/>
          <w:lang w:val="ru-RU"/>
        </w:rPr>
        <w:t>6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% от общей суммы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- на проведение съездов, партийных конференций, общих собраний региональными отделениями в сумме </w:t>
      </w:r>
      <w:r>
        <w:rPr>
          <w:szCs w:val="28"/>
          <w:lang w:val="ru-RU"/>
        </w:rPr>
        <w:t>1 075</w:t>
      </w:r>
      <w:r>
        <w:rPr>
          <w:szCs w:val="28"/>
        </w:rPr>
        <w:t>,</w:t>
      </w:r>
      <w:r>
        <w:rPr>
          <w:szCs w:val="28"/>
          <w:lang w:val="ru-RU"/>
        </w:rPr>
        <w:t>5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4</w:t>
      </w:r>
      <w:r>
        <w:rPr>
          <w:szCs w:val="28"/>
        </w:rPr>
        <w:t>,</w:t>
      </w:r>
      <w:r>
        <w:rPr>
          <w:szCs w:val="28"/>
          <w:lang w:val="ru-RU"/>
        </w:rPr>
        <w:t>2</w:t>
      </w:r>
      <w:r>
        <w:rPr>
          <w:szCs w:val="28"/>
        </w:rPr>
        <w:t xml:space="preserve"> % всех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>
        <w:rPr>
          <w:szCs w:val="28"/>
          <w:lang w:val="ru-RU"/>
        </w:rPr>
        <w:t>2</w:t>
      </w:r>
      <w:r>
        <w:rPr>
          <w:szCs w:val="28"/>
        </w:rPr>
        <w:t xml:space="preserve"> </w:t>
      </w:r>
      <w:r>
        <w:rPr>
          <w:szCs w:val="28"/>
          <w:lang w:val="ru-RU"/>
        </w:rPr>
        <w:t>383</w:t>
      </w:r>
      <w:r>
        <w:rPr>
          <w:szCs w:val="28"/>
        </w:rPr>
        <w:t>,</w:t>
      </w:r>
      <w:r>
        <w:rPr>
          <w:szCs w:val="28"/>
          <w:lang w:val="ru-RU"/>
        </w:rPr>
        <w:t>3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9</w:t>
      </w:r>
      <w:r>
        <w:rPr>
          <w:szCs w:val="28"/>
        </w:rPr>
        <w:t>,</w:t>
      </w:r>
      <w:r>
        <w:rPr>
          <w:szCs w:val="28"/>
          <w:lang w:val="ru-RU"/>
        </w:rPr>
        <w:t>3</w:t>
      </w:r>
      <w:r>
        <w:rPr>
          <w:color w:val="FF0000"/>
          <w:szCs w:val="28"/>
        </w:rPr>
        <w:t xml:space="preserve"> </w:t>
      </w:r>
      <w:r>
        <w:rPr>
          <w:szCs w:val="28"/>
        </w:rPr>
        <w:t>% от общей суммы  всех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- на публичные мероприятия расходы за отчетный квартал составили </w:t>
      </w:r>
      <w:r>
        <w:rPr>
          <w:szCs w:val="28"/>
          <w:lang w:val="ru-RU"/>
        </w:rPr>
        <w:t>3</w:t>
      </w:r>
      <w:r>
        <w:rPr>
          <w:szCs w:val="28"/>
          <w:lang w:val="ru-RU"/>
        </w:rPr>
        <w:t>7</w:t>
      </w:r>
      <w:r>
        <w:rPr>
          <w:szCs w:val="28"/>
        </w:rPr>
        <w:t>,</w:t>
      </w:r>
      <w:r>
        <w:rPr>
          <w:szCs w:val="28"/>
          <w:lang w:val="ru-RU"/>
        </w:rPr>
        <w:t>2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0,</w:t>
      </w:r>
      <w:r>
        <w:rPr>
          <w:szCs w:val="28"/>
          <w:lang w:val="ru-RU"/>
        </w:rPr>
        <w:t>1</w:t>
      </w:r>
      <w:r>
        <w:rPr>
          <w:szCs w:val="28"/>
          <w:lang w:val="ru-RU"/>
        </w:rPr>
        <w:t xml:space="preserve"> %</w:t>
      </w:r>
      <w:r>
        <w:rPr>
          <w:szCs w:val="28"/>
        </w:rPr>
        <w:t xml:space="preserve"> от общей суммы всех расходов.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/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квартал 201</w:t>
      </w:r>
      <w:r>
        <w:rPr>
          <w:szCs w:val="28"/>
          <w:lang w:val="ru-RU"/>
        </w:rPr>
        <w:t>9</w:t>
      </w:r>
      <w:r>
        <w:rPr>
          <w:szCs w:val="28"/>
        </w:rPr>
        <w:t xml:space="preserve"> года перечислено региональными отделениями политическим партиям - 11</w:t>
      </w:r>
      <w:r>
        <w:rPr>
          <w:szCs w:val="28"/>
          <w:lang w:val="ru-RU"/>
        </w:rPr>
        <w:t>0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тыс. руб.,                       или 0,</w:t>
      </w:r>
      <w:r>
        <w:rPr>
          <w:szCs w:val="28"/>
          <w:lang w:val="ru-RU"/>
        </w:rPr>
        <w:t>4</w:t>
      </w:r>
      <w:r>
        <w:rPr>
          <w:szCs w:val="28"/>
        </w:rPr>
        <w:t>% от общей суммы всех расходов.</w:t>
      </w:r>
    </w:p>
    <w:p>
      <w:pPr>
        <w:pStyle w:val="Normal"/>
        <w:bidi w:val="0"/>
        <w:ind w:firstLine="708"/>
        <w:jc w:val="both"/>
        <w:rPr/>
      </w:pPr>
      <w:r>
        <w:rPr/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>
      <w:pPr>
        <w:pStyle w:val="Normal"/>
        <w:bidi w:val="0"/>
        <w:ind w:firstLine="708"/>
        <w:jc w:val="both"/>
        <w:rPr/>
      </w:pPr>
      <w:r>
        <w:rPr/>
        <w:t xml:space="preserve">Выбытие иного имущества у региональных отделений за отчетный квартал составило </w:t>
      </w:r>
      <w:r>
        <w:rPr>
          <w:lang w:val="en-US"/>
        </w:rPr>
        <w:t xml:space="preserve">1 </w:t>
      </w:r>
      <w:r>
        <w:rPr>
          <w:lang w:val="ru-RU"/>
        </w:rPr>
        <w:t>637</w:t>
      </w:r>
      <w:r>
        <w:rPr/>
        <w:t>,</w:t>
      </w:r>
      <w:r>
        <w:rPr>
          <w:lang w:val="ru-RU"/>
        </w:rPr>
        <w:t>9</w:t>
      </w:r>
      <w:r>
        <w:rPr/>
        <w:t xml:space="preserve"> тыс. руб.</w:t>
      </w:r>
    </w:p>
    <w:p>
      <w:pPr>
        <w:pStyle w:val="Normal"/>
        <w:widowControl w:val="false"/>
        <w:bidi w:val="0"/>
        <w:jc w:val="right"/>
        <w:rPr/>
      </w:pPr>
      <w:r>
        <w:rPr/>
      </w:r>
    </w:p>
    <w:p>
      <w:pPr>
        <w:pStyle w:val="Normal"/>
        <w:widowControl w:val="false"/>
        <w:bidi w:val="0"/>
        <w:jc w:val="right"/>
        <w:rPr/>
      </w:pPr>
      <w:r>
        <w:rPr/>
        <w:t xml:space="preserve">Контрольно-ревизионная служба </w:t>
      </w:r>
    </w:p>
    <w:p>
      <w:pPr>
        <w:pStyle w:val="Normal"/>
        <w:widowControl w:val="false"/>
        <w:bidi w:val="0"/>
        <w:jc w:val="right"/>
        <w:rPr/>
      </w:pPr>
      <w:r>
        <w:rPr/>
        <w:t xml:space="preserve">при Избирательной комиссии Красноярского края </w:t>
      </w:r>
    </w:p>
    <w:sectPr>
      <w:headerReference w:type="default" r:id="rId2"/>
      <w:type w:val="nextPage"/>
      <w:pgSz w:w="11906" w:h="16838"/>
      <w:pgMar w:left="1797" w:right="992" w:header="709" w:top="851" w:footer="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bidi w:val="0"/>
      <w:ind w:right="360" w:hanging="0"/>
      <w:jc w:val="left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740" cy="174625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bidi w:val="0"/>
                            <w:jc w:val="left"/>
                            <w:rPr/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49.65pt;margin-top:0.05pt;width:6.1pt;height:13.65pt;mso-position-horizontal:right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bidi w:val="0"/>
                      <w:jc w:val="left"/>
                      <w:rPr/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unhideWhenUsed="0" w:qFormat="1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 w:qFormat="1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 w:qFormat="1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uiPriority w:val="0"/>
    <w:qFormat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uiPriority w:val="0"/>
    <w:qFormat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uiPriority w:val="0"/>
    <w:qFormat/>
    <w:pPr>
      <w:spacing w:before="0" w:after="12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Style18">
    <w:name w:val="Footnote Text"/>
    <w:basedOn w:val="Normal"/>
    <w:uiPriority w:val="0"/>
    <w:semiHidden/>
    <w:qFormat/>
    <w:pPr/>
    <w:rPr>
      <w:sz w:val="20"/>
      <w:szCs w:val="20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Header"/>
    <w:basedOn w:val="Normal"/>
    <w:uiPriority w:val="0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Title"/>
    <w:basedOn w:val="Normal"/>
    <w:uiPriority w:val="0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uiPriority w:val="0"/>
    <w:qFormat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uiPriority w:val="34"/>
    <w:qFormat/>
    <w:pPr>
      <w:ind w:left="708" w:hanging="0"/>
    </w:pPr>
    <w:rPr>
      <w:sz w:val="28"/>
    </w:rPr>
  </w:style>
  <w:style w:type="paragraph" w:styleId="Style22">
    <w:name w:val="Содержимое врезки"/>
    <w:basedOn w:val="Normal"/>
    <w:qFormat/>
    <w:pPr/>
    <w:rPr/>
  </w:style>
  <w:style w:type="table" w:default="1" w:styleId="10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0C61DE-54AC-478D-B67C-3CF52D9041A6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Application>LibreOffice/6.3.3.2$Windows_X86_64 LibreOffice_project/a64200df03143b798afd1ec74a12ab50359878ed</Application>
  <Pages>3</Pages>
  <Words>1000</Words>
  <Characters>6836</Characters>
  <CharactersWithSpaces>7890</CharactersWithSpaces>
  <Paragraphs>96</Paragraphs>
  <Company>IKSRF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2017-03-14T04:20:00Z</dcterms:created>
  <dc:creator>Kif</dc:creator>
  <dc:description/>
  <dc:language>ru-RU</dc:language>
  <cp:lastModifiedBy/>
  <cp:lastPrinted>2020-03-13T15:21:10Z</cp:lastPrinted>
  <dcterms:modified xsi:type="dcterms:W3CDTF">2020-03-20T10:44:42Z</dcterms:modified>
  <cp:revision>147</cp:revision>
  <dc:subject/>
  <dc:title>ИНФОРМАЦИЯ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IKSRF</vt:lpwstr>
  </property>
  <property fmtid="{D5CDD505-2E9C-101B-9397-08002B2CF9AE}" pid="3" name="DocSecurity">
    <vt:i4>0</vt:i4>
  </property>
  <property fmtid="{D5CDD505-2E9C-101B-9397-08002B2CF9AE}" pid="4" name="KSOProductBuildVer">
    <vt:lpwstr>1049-11.2.0.9031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